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venir" w:cs="Avenir" w:eastAsia="Avenir" w:hAnsi="Avenir"/>
          <w:b w:val="1"/>
          <w:sz w:val="26"/>
          <w:szCs w:val="26"/>
        </w:rPr>
      </w:pPr>
      <w:r w:rsidDel="00000000" w:rsidR="00000000" w:rsidRPr="00000000">
        <w:rPr>
          <w:rFonts w:ascii="Avenir" w:cs="Avenir" w:eastAsia="Avenir" w:hAnsi="Avenir"/>
          <w:b w:val="1"/>
          <w:sz w:val="26"/>
          <w:szCs w:val="26"/>
          <w:rtl w:val="0"/>
        </w:rPr>
        <w:t xml:space="preserve">Foundational ID Summary</w:t>
      </w:r>
    </w:p>
    <w:p w:rsidR="00000000" w:rsidDel="00000000" w:rsidP="00000000" w:rsidRDefault="00000000" w:rsidRPr="00000000" w14:paraId="00000002">
      <w:pPr>
        <w:rPr>
          <w:rFonts w:ascii="Avenir" w:cs="Avenir" w:eastAsia="Avenir" w:hAnsi="Avenir"/>
          <w:b w:val="1"/>
          <w:color w:val="073763"/>
          <w:sz w:val="24"/>
          <w:szCs w:val="24"/>
        </w:rPr>
      </w:pPr>
      <w:r w:rsidDel="00000000" w:rsidR="00000000" w:rsidRPr="00000000">
        <w:rPr>
          <w:rtl w:val="0"/>
        </w:rPr>
      </w:r>
    </w:p>
    <w:p w:rsidR="00000000" w:rsidDel="00000000" w:rsidP="00000000" w:rsidRDefault="00000000" w:rsidRPr="00000000" w14:paraId="00000003">
      <w:pPr>
        <w:spacing w:line="240" w:lineRule="auto"/>
        <w:rPr>
          <w:rFonts w:ascii="Avenir" w:cs="Avenir" w:eastAsia="Avenir" w:hAnsi="Avenir"/>
          <w:b w:val="1"/>
          <w:color w:val="073763"/>
          <w:sz w:val="24"/>
          <w:szCs w:val="24"/>
        </w:rPr>
      </w:pPr>
      <w:r w:rsidDel="00000000" w:rsidR="00000000" w:rsidRPr="00000000">
        <w:rPr>
          <w:rFonts w:ascii="Avenir" w:cs="Avenir" w:eastAsia="Avenir" w:hAnsi="Avenir"/>
          <w:b w:val="1"/>
          <w:color w:val="073763"/>
          <w:sz w:val="24"/>
          <w:szCs w:val="24"/>
          <w:rtl w:val="0"/>
        </w:rPr>
        <w:t xml:space="preserve">Why </w:t>
      </w:r>
    </w:p>
    <w:p w:rsidR="00000000" w:rsidDel="00000000" w:rsidP="00000000" w:rsidRDefault="00000000" w:rsidRPr="00000000" w14:paraId="00000004">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5">
      <w:pPr>
        <w:spacing w:line="276" w:lineRule="auto"/>
        <w:rPr>
          <w:rFonts w:ascii="Avenir" w:cs="Avenir" w:eastAsia="Avenir" w:hAnsi="Avenir"/>
          <w:b w:val="1"/>
          <w:color w:val="073763"/>
          <w:sz w:val="24"/>
          <w:szCs w:val="24"/>
        </w:rPr>
      </w:pPr>
      <w:r w:rsidDel="00000000" w:rsidR="00000000" w:rsidRPr="00000000">
        <w:rPr>
          <w:rFonts w:ascii="Avenir" w:cs="Avenir" w:eastAsia="Avenir" w:hAnsi="Avenir"/>
          <w:rtl w:val="0"/>
        </w:rPr>
        <w:t xml:space="preserve">Nigeria’s National Identity Number (NIN) serves as a foundational ID providing a unique identifier for Nigerian citizens and can be used to access governmental, financial and telecom services. While NIN registration is free, it is particularly difficult for Nigerians living in conflict prone and hard to reach areas to complete registration due to 1) inability to access NIN registration sites, 2) lack of supporting documentation required to sign up for a NIN and 3) lack of funds to afford transport. Access to an NIN for poor and vulnerable households will improve their resiliency, financial stability and freedom of movement. A NIN grants access to a SIM card, a financial account, the national health insurance scheme, the national pension scheme, an electronic passport, a driver's license and registration for certain educational exams among other services. Poor and vulnerable households, including those who are recipients of humanitarian cash transfers, may lack the literacy, capacity or understanding in how to register for a NIN and the documentation that can be used to do so. These households can benefit from support to register for a NIN, whether in the form of spreading awareness of documentation requirements, legal advice to prepare documents, transportation to NIN registration sites, etc.</w:t>
      </w:r>
      <w:r w:rsidDel="00000000" w:rsidR="00000000" w:rsidRPr="00000000">
        <w:rPr>
          <w:rtl w:val="0"/>
        </w:rPr>
      </w:r>
    </w:p>
    <w:p w:rsidR="00000000" w:rsidDel="00000000" w:rsidP="00000000" w:rsidRDefault="00000000" w:rsidRPr="00000000" w14:paraId="00000006">
      <w:pPr>
        <w:rPr>
          <w:rFonts w:ascii="Avenir" w:cs="Avenir" w:eastAsia="Avenir" w:hAnsi="Avenir"/>
          <w:b w:val="1"/>
          <w:color w:val="073763"/>
          <w:sz w:val="24"/>
          <w:szCs w:val="24"/>
        </w:rPr>
      </w:pPr>
      <w:r w:rsidDel="00000000" w:rsidR="00000000" w:rsidRPr="00000000">
        <w:rPr>
          <w:rtl w:val="0"/>
        </w:rPr>
      </w:r>
    </w:p>
    <w:p w:rsidR="00000000" w:rsidDel="00000000" w:rsidP="00000000" w:rsidRDefault="00000000" w:rsidRPr="00000000" w14:paraId="00000007">
      <w:pPr>
        <w:rPr>
          <w:rFonts w:ascii="Avenir" w:cs="Avenir" w:eastAsia="Avenir" w:hAnsi="Avenir"/>
          <w:b w:val="1"/>
          <w:color w:val="073763"/>
          <w:sz w:val="24"/>
          <w:szCs w:val="24"/>
        </w:rPr>
      </w:pPr>
      <w:r w:rsidDel="00000000" w:rsidR="00000000" w:rsidRPr="00000000">
        <w:rPr>
          <w:rFonts w:ascii="Avenir" w:cs="Avenir" w:eastAsia="Avenir" w:hAnsi="Avenir"/>
          <w:b w:val="1"/>
          <w:color w:val="073763"/>
          <w:sz w:val="24"/>
          <w:szCs w:val="24"/>
          <w:rtl w:val="0"/>
        </w:rPr>
        <w:t xml:space="preserve">What</w:t>
      </w:r>
    </w:p>
    <w:p w:rsidR="00000000" w:rsidDel="00000000" w:rsidP="00000000" w:rsidRDefault="00000000" w:rsidRPr="00000000" w14:paraId="00000008">
      <w:pPr>
        <w:rPr>
          <w:rFonts w:ascii="Avenir" w:cs="Avenir" w:eastAsia="Avenir" w:hAnsi="Avenir"/>
        </w:rPr>
      </w:pPr>
      <w:r w:rsidDel="00000000" w:rsidR="00000000" w:rsidRPr="00000000">
        <w:rPr>
          <w:rtl w:val="0"/>
        </w:rPr>
      </w:r>
    </w:p>
    <w:p w:rsidR="00000000" w:rsidDel="00000000" w:rsidP="00000000" w:rsidRDefault="00000000" w:rsidRPr="00000000" w14:paraId="00000009">
      <w:pPr>
        <w:spacing w:line="240" w:lineRule="auto"/>
        <w:rPr>
          <w:rFonts w:ascii="Avenir" w:cs="Avenir" w:eastAsia="Avenir" w:hAnsi="Avenir"/>
        </w:rPr>
      </w:pPr>
      <w:r w:rsidDel="00000000" w:rsidR="00000000" w:rsidRPr="00000000">
        <w:rPr>
          <w:rFonts w:ascii="Avenir" w:cs="Avenir" w:eastAsia="Avenir" w:hAnsi="Avenir"/>
          <w:rtl w:val="0"/>
        </w:rPr>
        <w:t xml:space="preserve">This concept note seeks partnerships between the World Food Programme (WFP), the National Identity Management Commission (NIMC) and Inclusion for All to expand access to a National Identity Card (NIN) for recipients of food assistance programming. WFP will leverage its extensive network of field staff and operational footprint to provide a support infrastructure to the NIMC to accelerate NIN registration. This will involve sensitization to recipients on the benefits of a NIN, supporting recipients in collecting documents as well as logistical, operational and infrastructure support to NIMC throughout the recipient registration process. </w:t>
      </w:r>
    </w:p>
    <w:p w:rsidR="00000000" w:rsidDel="00000000" w:rsidP="00000000" w:rsidRDefault="00000000" w:rsidRPr="00000000" w14:paraId="0000000A">
      <w:pPr>
        <w:spacing w:line="276" w:lineRule="auto"/>
        <w:rPr>
          <w:rFonts w:ascii="Avenir" w:cs="Avenir" w:eastAsia="Avenir" w:hAnsi="Avenir"/>
          <w:b w:val="1"/>
        </w:rPr>
      </w:pPr>
      <w:r w:rsidDel="00000000" w:rsidR="00000000" w:rsidRPr="00000000">
        <w:rPr>
          <w:rtl w:val="0"/>
        </w:rPr>
      </w:r>
    </w:p>
    <w:p w:rsidR="00000000" w:rsidDel="00000000" w:rsidP="00000000" w:rsidRDefault="00000000" w:rsidRPr="00000000" w14:paraId="0000000B">
      <w:pPr>
        <w:spacing w:line="240" w:lineRule="auto"/>
        <w:rPr>
          <w:rFonts w:ascii="Avenir" w:cs="Avenir" w:eastAsia="Avenir" w:hAnsi="Avenir"/>
          <w:b w:val="1"/>
        </w:rPr>
      </w:pPr>
      <w:r w:rsidDel="00000000" w:rsidR="00000000" w:rsidRPr="00000000">
        <w:rPr>
          <w:rtl w:val="0"/>
        </w:rPr>
      </w:r>
    </w:p>
    <w:p w:rsidR="00000000" w:rsidDel="00000000" w:rsidP="00000000" w:rsidRDefault="00000000" w:rsidRPr="00000000" w14:paraId="0000000C">
      <w:pPr>
        <w:spacing w:line="240" w:lineRule="auto"/>
        <w:rPr>
          <w:rFonts w:ascii="Avenir" w:cs="Avenir" w:eastAsia="Avenir" w:hAnsi="Avenir"/>
          <w:b w:val="1"/>
          <w:color w:val="073763"/>
          <w:sz w:val="24"/>
          <w:szCs w:val="24"/>
        </w:rPr>
      </w:pPr>
      <w:r w:rsidDel="00000000" w:rsidR="00000000" w:rsidRPr="00000000">
        <w:rPr>
          <w:rFonts w:ascii="Avenir" w:cs="Avenir" w:eastAsia="Avenir" w:hAnsi="Avenir"/>
          <w:b w:val="1"/>
          <w:color w:val="073763"/>
          <w:sz w:val="24"/>
          <w:szCs w:val="24"/>
          <w:rtl w:val="0"/>
        </w:rPr>
        <w:t xml:space="preserve">How </w:t>
      </w:r>
    </w:p>
    <w:p w:rsidR="00000000" w:rsidDel="00000000" w:rsidP="00000000" w:rsidRDefault="00000000" w:rsidRPr="00000000" w14:paraId="0000000D">
      <w:pPr>
        <w:spacing w:line="240" w:lineRule="auto"/>
        <w:rPr>
          <w:rFonts w:ascii="Avenir" w:cs="Avenir" w:eastAsia="Avenir" w:hAnsi="Avenir"/>
          <w:b w:val="1"/>
        </w:rPr>
      </w:pPr>
      <w:r w:rsidDel="00000000" w:rsidR="00000000" w:rsidRPr="00000000">
        <w:rPr>
          <w:rtl w:val="0"/>
        </w:rPr>
      </w:r>
    </w:p>
    <w:p w:rsidR="00000000" w:rsidDel="00000000" w:rsidP="00000000" w:rsidRDefault="00000000" w:rsidRPr="00000000" w14:paraId="0000000E">
      <w:pPr>
        <w:spacing w:line="240" w:lineRule="auto"/>
        <w:rPr>
          <w:rFonts w:ascii="Avenir" w:cs="Avenir" w:eastAsia="Avenir" w:hAnsi="Avenir"/>
        </w:rPr>
      </w:pPr>
      <w:r w:rsidDel="00000000" w:rsidR="00000000" w:rsidRPr="00000000">
        <w:rPr>
          <w:rFonts w:ascii="Avenir" w:cs="Avenir" w:eastAsia="Avenir" w:hAnsi="Avenir"/>
          <w:rtl w:val="0"/>
        </w:rPr>
        <w:t xml:space="preserve">This project proposes four phases beginning with understanding the existing initiatives between humanitarian organizations supporting foundational ID registration as well as progress on offline enrollment initiatives. This phase will also witness an analysis of WFP’s Scope database to determine where there are pockets of recipients who do not currently have access to an ID that can be used to narrow the pilot location. </w:t>
      </w:r>
    </w:p>
    <w:p w:rsidR="00000000" w:rsidDel="00000000" w:rsidP="00000000" w:rsidRDefault="00000000" w:rsidRPr="00000000" w14:paraId="0000000F">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0">
      <w:pPr>
        <w:spacing w:line="240" w:lineRule="auto"/>
        <w:rPr>
          <w:rFonts w:ascii="Avenir" w:cs="Avenir" w:eastAsia="Avenir" w:hAnsi="Avenir"/>
        </w:rPr>
      </w:pPr>
      <w:r w:rsidDel="00000000" w:rsidR="00000000" w:rsidRPr="00000000">
        <w:rPr>
          <w:rFonts w:ascii="Avenir" w:cs="Avenir" w:eastAsia="Avenir" w:hAnsi="Avenir"/>
          <w:rtl w:val="0"/>
        </w:rPr>
        <w:t xml:space="preserve">The second phase will involve the development and signing of an MOU between WFP and NIMC to agree on the areas of intervention and support. The third phase will witness capacity building of WFP’s staff as well as planning for pilot implementation. Inclusion for All will lead a training of trainers’ session for WFP’s team to ensure they can effectively communicate the benefits of an NIN, conduct parallel digital financial literacy training and communicate information around registration and documentation needs. Phase 4 will involve the implementation of the pilot beginning with sensitizing beneficiaires at convenient locations , following with the enrollment events and finishing with ongoing support and physical ID disbursement. </w:t>
      </w:r>
    </w:p>
    <w:p w:rsidR="00000000" w:rsidDel="00000000" w:rsidP="00000000" w:rsidRDefault="00000000" w:rsidRPr="00000000" w14:paraId="00000011">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2">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EC92381D2BE49ACA1425C2F96CF3E" ma:contentTypeVersion="13" ma:contentTypeDescription="Create a new document." ma:contentTypeScope="" ma:versionID="943323377263161900ccbb070c6784fd">
  <xsd:schema xmlns:xsd="http://www.w3.org/2001/XMLSchema" xmlns:xs="http://www.w3.org/2001/XMLSchema" xmlns:p="http://schemas.microsoft.com/office/2006/metadata/properties" xmlns:ns2="3aba22d0-3515-4b59-8e45-ecd8e15ac498" xmlns:ns3="e023527c-f530-4a3a-81a3-5879e8c910b0" targetNamespace="http://schemas.microsoft.com/office/2006/metadata/properties" ma:root="true" ma:fieldsID="56603a0e73b8ef28db6553e01aa0e2fc" ns2:_="" ns3:_="">
    <xsd:import namespace="3aba22d0-3515-4b59-8e45-ecd8e15ac498"/>
    <xsd:import namespace="e023527c-f530-4a3a-81a3-5879e8c910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a22d0-3515-4b59-8e45-ecd8e15ac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784181-712c-4f43-bdd9-ae6f3ae1878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3527c-f530-4a3a-81a3-5879e8c910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a4fa927-9755-4a4f-9c10-7b8953dd2ecc}" ma:internalName="TaxCatchAll" ma:showField="CatchAllData" ma:web="e023527c-f530-4a3a-81a3-5879e8c910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82FFC9-078F-4CCF-BC93-5D3878E2679E}"/>
</file>

<file path=customXml/itemProps2.xml><?xml version="1.0" encoding="utf-8"?>
<ds:datastoreItem xmlns:ds="http://schemas.openxmlformats.org/officeDocument/2006/customXml" ds:itemID="{AEAC76C9-363D-4205-94BC-F4B735D6C5E2}"/>
</file>